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B27109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333FA7" w:rsidRDefault="00333FA7" w:rsidP="00333FA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maintain the health and safety of oneself and of others and for maintaining environmental standards when carrying out work activities on board ship.</w:t>
            </w:r>
          </w:p>
          <w:p w:rsidR="00333FA7" w:rsidRDefault="00333FA7" w:rsidP="00333FA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451C9A" w:rsidRPr="00451C9A" w:rsidRDefault="00451C9A" w:rsidP="00333FA7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333FA7" w:rsidRDefault="00333FA7" w:rsidP="00333FA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support level on any size vessel working in any operational area.</w:t>
            </w:r>
          </w:p>
          <w:p w:rsidR="00333FA7" w:rsidRDefault="00333FA7" w:rsidP="00333FA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333FA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B27109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25743A" w:rsidRDefault="0025743A" w:rsidP="0025743A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25743A" w:rsidRDefault="0025743A" w:rsidP="0025743A">
            <w:pPr>
              <w:pStyle w:val="NOSBodyHeading"/>
              <w:spacing w:line="276" w:lineRule="auto"/>
              <w:rPr>
                <w:b w:val="0"/>
              </w:rPr>
            </w:pPr>
          </w:p>
          <w:p w:rsidR="0025743A" w:rsidRDefault="0025743A" w:rsidP="0025743A">
            <w:pPr>
              <w:pStyle w:val="NOSBodyHeading"/>
              <w:spacing w:line="276" w:lineRule="auto"/>
              <w:rPr>
                <w:b w:val="0"/>
              </w:rPr>
            </w:pPr>
          </w:p>
          <w:p w:rsidR="0025743A" w:rsidRPr="001B0A7B" w:rsidRDefault="004569AC" w:rsidP="00257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25743A">
              <w:rPr>
                <w:b w:val="0"/>
              </w:rPr>
              <w:t>arry out the work safely, following safe working practices and procedures, and ensure the work meets agreed safety and environmental standards</w:t>
            </w:r>
          </w:p>
          <w:p w:rsidR="0025743A" w:rsidRPr="001B0A7B" w:rsidRDefault="004569AC" w:rsidP="00257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25743A">
              <w:rPr>
                <w:b w:val="0"/>
              </w:rPr>
              <w:t>aintain and wear appropriate safety clothing and equipment</w:t>
            </w:r>
          </w:p>
          <w:p w:rsidR="0025743A" w:rsidRPr="001B0A7B" w:rsidRDefault="004569AC" w:rsidP="00257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25743A">
              <w:rPr>
                <w:b w:val="0"/>
              </w:rPr>
              <w:t>ommunicate effectively in relation to shipboard duties and emergency situations</w:t>
            </w:r>
          </w:p>
          <w:p w:rsidR="0025743A" w:rsidRPr="001B0A7B" w:rsidRDefault="004569AC" w:rsidP="00257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25743A">
              <w:rPr>
                <w:b w:val="0"/>
              </w:rPr>
              <w:t>ontinually monitor working practices and work area for safety hazards and risk</w:t>
            </w:r>
          </w:p>
          <w:p w:rsidR="0025743A" w:rsidRPr="001B0A7B" w:rsidRDefault="004569AC" w:rsidP="00257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25743A">
              <w:rPr>
                <w:b w:val="0"/>
              </w:rPr>
              <w:t>se the appropriate safety equipment and ensure protective devices are in place and functioning</w:t>
            </w:r>
          </w:p>
          <w:p w:rsidR="0025743A" w:rsidRPr="001B0A7B" w:rsidRDefault="004569AC" w:rsidP="00257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g</w:t>
            </w:r>
            <w:r w:rsidR="0025743A">
              <w:rPr>
                <w:b w:val="0"/>
              </w:rPr>
              <w:t>ive support to colleagues to ensure that they are able to work in a healthy, safe and productive way</w:t>
            </w:r>
          </w:p>
          <w:p w:rsidR="0025743A" w:rsidRPr="001B0A7B" w:rsidRDefault="004569AC" w:rsidP="00257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25743A">
              <w:rPr>
                <w:b w:val="0"/>
              </w:rPr>
              <w:t>romptly rectify and report, as appropriate, unsafe conditions, breaches in health and safety</w:t>
            </w:r>
            <w:r w:rsidR="001F6B01">
              <w:rPr>
                <w:b w:val="0"/>
              </w:rPr>
              <w:t>,</w:t>
            </w:r>
            <w:r w:rsidR="0025743A">
              <w:rPr>
                <w:b w:val="0"/>
              </w:rPr>
              <w:t xml:space="preserve"> and potential hazards</w:t>
            </w:r>
          </w:p>
          <w:p w:rsidR="0025743A" w:rsidRPr="001B0A7B" w:rsidRDefault="004569AC" w:rsidP="00257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f</w:t>
            </w:r>
            <w:r w:rsidR="0025743A">
              <w:rPr>
                <w:b w:val="0"/>
              </w:rPr>
              <w:t>ollow statutory procedures with regard to disposal of waste and to prevent pollution of the marine environment, within relevant timescales</w:t>
            </w:r>
          </w:p>
          <w:p w:rsidR="0025743A" w:rsidRDefault="004569AC" w:rsidP="00257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25743A">
              <w:rPr>
                <w:b w:val="0"/>
              </w:rPr>
              <w:t>dentify and respond to potential emergency situations and accidents, according to specified procedures</w:t>
            </w:r>
          </w:p>
          <w:p w:rsidR="003C6D88" w:rsidRPr="001B0A7B" w:rsidRDefault="003C6D88" w:rsidP="0025743A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  <w:bookmarkEnd w:id="3"/>
    </w:tbl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B27109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5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743072" w:rsidRDefault="00743072" w:rsidP="00743072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6" w:name="StartKnowledge"/>
            <w:bookmarkEnd w:id="6"/>
          </w:p>
          <w:p w:rsidR="00451C9A" w:rsidRDefault="00451C9A" w:rsidP="00743072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743072" w:rsidRPr="001B0A7B" w:rsidRDefault="00743072" w:rsidP="00743072">
            <w:pPr>
              <w:pStyle w:val="NOSBodyHeading"/>
              <w:spacing w:line="276" w:lineRule="auto"/>
              <w:rPr>
                <w:b w:val="0"/>
              </w:rPr>
            </w:pPr>
          </w:p>
          <w:p w:rsidR="00743072" w:rsidRPr="001B0A7B" w:rsidRDefault="004569AC" w:rsidP="0074307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743072">
              <w:rPr>
                <w:rFonts w:cs="Arial"/>
                <w:b w:val="0"/>
              </w:rPr>
              <w:t>ow to observe safe working practices</w:t>
            </w:r>
          </w:p>
          <w:p w:rsidR="00743072" w:rsidRPr="001B0A7B" w:rsidRDefault="004569AC" w:rsidP="0074307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743072">
              <w:rPr>
                <w:rFonts w:cs="Arial"/>
                <w:b w:val="0"/>
              </w:rPr>
              <w:t>he safety precautions relating to maintenance, vessel operations and routine duties</w:t>
            </w:r>
          </w:p>
          <w:p w:rsidR="00743072" w:rsidRPr="001B0A7B" w:rsidRDefault="004569AC" w:rsidP="0074307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743072">
              <w:rPr>
                <w:rFonts w:cs="Arial"/>
                <w:b w:val="0"/>
              </w:rPr>
              <w:t>he importance of orders and how to communicate with others in relation to shipboard duties</w:t>
            </w:r>
          </w:p>
          <w:p w:rsidR="00743072" w:rsidRPr="001B0A7B" w:rsidRDefault="004569AC" w:rsidP="0074307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743072">
              <w:rPr>
                <w:rFonts w:cs="Arial"/>
                <w:b w:val="0"/>
              </w:rPr>
              <w:t>ow to contribute to effective human relationships on board the vessel</w:t>
            </w:r>
          </w:p>
          <w:p w:rsidR="00743072" w:rsidRPr="001B0A7B" w:rsidRDefault="004569AC" w:rsidP="0074307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743072">
              <w:rPr>
                <w:rFonts w:cs="Arial"/>
                <w:b w:val="0"/>
              </w:rPr>
              <w:t>ow to comply with emergency and accident procedures</w:t>
            </w:r>
          </w:p>
          <w:p w:rsidR="00743072" w:rsidRPr="001B0A7B" w:rsidRDefault="004569AC" w:rsidP="0074307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743072">
              <w:rPr>
                <w:rFonts w:cs="Arial"/>
                <w:b w:val="0"/>
              </w:rPr>
              <w:t>he precautions to prevent pollution of the marine environment</w:t>
            </w:r>
          </w:p>
          <w:p w:rsidR="00743072" w:rsidRPr="001B0A7B" w:rsidRDefault="004569AC" w:rsidP="0074307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s</w:t>
            </w:r>
            <w:r w:rsidR="00743072">
              <w:rPr>
                <w:rFonts w:cs="Arial"/>
                <w:b w:val="0"/>
              </w:rPr>
              <w:t>tatutory regulations and guidelines, organisational instructions and guidance</w:t>
            </w:r>
            <w:r w:rsidR="001F6B01">
              <w:rPr>
                <w:rFonts w:cs="Arial"/>
                <w:b w:val="0"/>
              </w:rPr>
              <w:t>,</w:t>
            </w:r>
            <w:r w:rsidR="00743072">
              <w:rPr>
                <w:rFonts w:cs="Arial"/>
                <w:b w:val="0"/>
              </w:rPr>
              <w:t xml:space="preserve"> and vessel contingency plans</w:t>
            </w:r>
          </w:p>
          <w:p w:rsidR="00006091" w:rsidRPr="001B0A7B" w:rsidRDefault="00006091" w:rsidP="00743072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7" w:name="EndKnowledge"/>
      <w:bookmarkEnd w:id="5"/>
      <w:bookmarkEnd w:id="7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bookmarkStart w:id="8" w:name="EndBookmark"/>
            <w:bookmarkEnd w:id="8"/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2A694A" w:rsidRDefault="002A694A" w:rsidP="002A694A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27109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451C9A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2710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8B2BCA" w:rsidP="00451C9A">
            <w:pPr>
              <w:pStyle w:val="NOSBodyText"/>
              <w:rPr>
                <w:color w:val="221E1F"/>
              </w:rPr>
            </w:pPr>
            <w:bookmarkStart w:id="13" w:name="StartApproved"/>
            <w:bookmarkStart w:id="14" w:name="EndApproved"/>
            <w:bookmarkEnd w:id="13"/>
            <w:bookmarkEnd w:id="14"/>
            <w:r>
              <w:rPr>
                <w:color w:val="221E1F"/>
              </w:rPr>
              <w:t>January 2012</w:t>
            </w:r>
            <w:bookmarkStart w:id="15" w:name="Enddateapproved"/>
            <w:bookmarkEnd w:id="15"/>
          </w:p>
          <w:p w:rsidR="00451C9A" w:rsidRPr="004E05F7" w:rsidRDefault="00451C9A" w:rsidP="00451C9A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B2710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8B2BCA" w:rsidP="00451C9A">
            <w:pPr>
              <w:pStyle w:val="NOSBodyText"/>
              <w:rPr>
                <w:color w:val="221E1F"/>
              </w:rPr>
            </w:pPr>
            <w:bookmarkStart w:id="16" w:name="StartReview"/>
            <w:bookmarkStart w:id="17" w:name="EndReview"/>
            <w:bookmarkEnd w:id="16"/>
            <w:bookmarkEnd w:id="17"/>
            <w:r>
              <w:rPr>
                <w:color w:val="221E1F"/>
              </w:rPr>
              <w:t>December 2016</w:t>
            </w:r>
            <w:bookmarkStart w:id="18" w:name="Endindicativeapproveddate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2710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D808EB" w:rsidP="00690067">
            <w:pPr>
              <w:pStyle w:val="NOSBodyText"/>
              <w:rPr>
                <w:rStyle w:val="A3"/>
              </w:rPr>
            </w:pPr>
            <w:bookmarkStart w:id="19" w:name="StartValidity"/>
            <w:bookmarkEnd w:id="19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0" w:name="EndValidity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2710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D808EB" w:rsidP="001F6BF7">
            <w:pPr>
              <w:pStyle w:val="NOSBodyText"/>
              <w:rPr>
                <w:color w:val="221E1F"/>
              </w:rPr>
            </w:pPr>
            <w:bookmarkStart w:id="21" w:name="StartStatus"/>
            <w:bookmarkEnd w:id="21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2" w:name="EndStatus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Default="00B2710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451C9A" w:rsidP="001F6BF7">
            <w:pPr>
              <w:pStyle w:val="NOSBodyText"/>
              <w:rPr>
                <w:color w:val="221E1F"/>
              </w:rPr>
            </w:pPr>
            <w:bookmarkStart w:id="23" w:name="StartOrigin"/>
            <w:bookmarkEnd w:id="23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4" w:name="EndOrigi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2710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8B2BCA" w:rsidP="001F6BF7">
            <w:pPr>
              <w:pStyle w:val="NOSBodyText"/>
              <w:rPr>
                <w:color w:val="221E1F"/>
              </w:rPr>
            </w:pPr>
            <w:bookmarkStart w:id="25" w:name="StartOriginURN"/>
            <w:bookmarkEnd w:id="25"/>
            <w:r>
              <w:rPr>
                <w:color w:val="221E1F"/>
              </w:rPr>
              <w:t xml:space="preserve">MSA </w:t>
            </w:r>
            <w:r w:rsidR="004449EC">
              <w:rPr>
                <w:color w:val="221E1F"/>
              </w:rPr>
              <w:t>A31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6" w:name="EndOriginURN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Default="00B2710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4449EC" w:rsidRDefault="004449EC" w:rsidP="004449EC">
            <w:pPr>
              <w:rPr>
                <w:rFonts w:ascii="Arial" w:hAnsi="Arial" w:cs="Arial"/>
              </w:rPr>
            </w:pPr>
            <w:bookmarkStart w:id="27" w:name="StartOccupations"/>
            <w:bookmarkStart w:id="28" w:name="EndOccupations"/>
            <w:bookmarkEnd w:id="27"/>
            <w:bookmarkEnd w:id="28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bookmarkStart w:id="29" w:name="Endirelevantoccupations"/>
            <w:bookmarkEnd w:id="2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2710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451C9A" w:rsidP="001F6BF7">
            <w:pPr>
              <w:pStyle w:val="NOSBodyText"/>
              <w:rPr>
                <w:color w:val="221E1F"/>
              </w:rPr>
            </w:pPr>
            <w:bookmarkStart w:id="30" w:name="StartSuite"/>
            <w:bookmarkEnd w:id="30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1" w:name="EndSuite"/>
            <w:bookmarkEnd w:id="3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2710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4449EC" w:rsidRDefault="004449EC" w:rsidP="004449EC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32" w:name="StartKeywords"/>
            <w:bookmarkEnd w:id="32"/>
            <w:r>
              <w:t xml:space="preserve">health and safety; maintaining environmental standards; on board ship </w:t>
            </w:r>
          </w:p>
          <w:p w:rsidR="0052780A" w:rsidRDefault="0052780A" w:rsidP="00690067">
            <w:pPr>
              <w:pStyle w:val="NOSBodyText"/>
              <w:rPr>
                <w:color w:val="221E1F"/>
              </w:rPr>
            </w:pP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3" w:name="EndKeywords"/>
            <w:bookmarkEnd w:id="33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8B2BCA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8B2BCA">
      <w:rPr>
        <w:rFonts w:ascii="Arial" w:hAnsi="Arial" w:cs="Arial"/>
        <w:sz w:val="14"/>
        <w:szCs w:val="14"/>
      </w:rPr>
      <w:t>MSA A31</w:t>
    </w:r>
    <w:r>
      <w:rPr>
        <w:rFonts w:ascii="Arial" w:hAnsi="Arial" w:cs="Arial"/>
        <w:sz w:val="14"/>
        <w:szCs w:val="14"/>
      </w:rPr>
      <w:t xml:space="preserve"> </w:t>
    </w:r>
    <w:r w:rsidRPr="008B2BCA">
      <w:rPr>
        <w:rFonts w:ascii="Arial" w:hAnsi="Arial" w:cs="Arial"/>
        <w:sz w:val="14"/>
        <w:szCs w:val="14"/>
      </w:rPr>
      <w:t>Maintain personal health, safety and environmental standards on board a vessel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B27109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B27109" w:rsidRPr="008C0064">
      <w:rPr>
        <w:rFonts w:ascii="Arial" w:hAnsi="Arial" w:cs="Arial"/>
        <w:sz w:val="14"/>
        <w:szCs w:val="14"/>
      </w:rPr>
      <w:fldChar w:fldCharType="separate"/>
    </w:r>
    <w:r w:rsidR="00C8464D">
      <w:rPr>
        <w:rFonts w:ascii="Arial" w:hAnsi="Arial" w:cs="Arial"/>
        <w:noProof/>
        <w:sz w:val="14"/>
        <w:szCs w:val="14"/>
      </w:rPr>
      <w:t>4</w:t>
    </w:r>
    <w:r w:rsidR="00B27109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B2BCA" w:rsidRDefault="008B2BCA" w:rsidP="008B2BCA">
    <w:pPr>
      <w:pStyle w:val="Header"/>
      <w:rPr>
        <w:rFonts w:ascii="Arial" w:hAnsi="Arial" w:cs="Arial"/>
        <w:sz w:val="14"/>
        <w:szCs w:val="14"/>
      </w:rPr>
    </w:pPr>
    <w:r w:rsidRPr="008B2BCA">
      <w:rPr>
        <w:rFonts w:ascii="Arial" w:hAnsi="Arial" w:cs="Arial"/>
        <w:sz w:val="14"/>
        <w:szCs w:val="14"/>
      </w:rPr>
      <w:t>MSA A31</w:t>
    </w:r>
    <w:r>
      <w:rPr>
        <w:rFonts w:ascii="Arial" w:hAnsi="Arial" w:cs="Arial"/>
        <w:sz w:val="14"/>
        <w:szCs w:val="14"/>
      </w:rPr>
      <w:t xml:space="preserve"> </w:t>
    </w:r>
    <w:r w:rsidRPr="008B2BCA">
      <w:rPr>
        <w:rFonts w:ascii="Arial" w:hAnsi="Arial" w:cs="Arial"/>
        <w:sz w:val="14"/>
        <w:szCs w:val="14"/>
      </w:rPr>
      <w:t>Maintain personal health, safety and environmental standards on board a vessel</w:t>
    </w:r>
    <w:r w:rsidR="004323FE" w:rsidRPr="008B2BCA">
      <w:rPr>
        <w:sz w:val="14"/>
        <w:szCs w:val="14"/>
      </w:rPr>
      <w:tab/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B27109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B27109" w:rsidRPr="008C0064">
      <w:rPr>
        <w:rFonts w:ascii="Arial" w:hAnsi="Arial" w:cs="Arial"/>
        <w:sz w:val="14"/>
        <w:szCs w:val="14"/>
      </w:rPr>
      <w:fldChar w:fldCharType="separate"/>
    </w:r>
    <w:r w:rsidR="00C8464D">
      <w:rPr>
        <w:rFonts w:ascii="Arial" w:hAnsi="Arial" w:cs="Arial"/>
        <w:noProof/>
        <w:sz w:val="14"/>
        <w:szCs w:val="14"/>
      </w:rPr>
      <w:t>1</w:t>
    </w:r>
    <w:r w:rsidR="00B27109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B27109" w:rsidP="002063F2">
    <w:pPr>
      <w:tabs>
        <w:tab w:val="left" w:pos="7140"/>
      </w:tabs>
    </w:pPr>
    <w:r w:rsidRPr="00B27109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4449EC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451C9A">
      <w:rPr>
        <w:rFonts w:ascii="Arial" w:eastAsiaTheme="minorHAnsi" w:hAnsi="Arial" w:cs="Arial"/>
        <w:b/>
        <w:noProof/>
        <w:sz w:val="32"/>
        <w:szCs w:val="32"/>
      </w:rPr>
      <w:t>A31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333FA7">
      <w:rPr>
        <w:rFonts w:ascii="Arial" w:eastAsiaTheme="minorHAnsi" w:hAnsi="Arial" w:cs="Arial"/>
        <w:noProof/>
        <w:sz w:val="32"/>
        <w:szCs w:val="32"/>
      </w:rPr>
      <w:t>Maintain personal health, safety and environmental standards on board a vessel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4449EC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451C9A">
            <w:rPr>
              <w:rFonts w:ascii="Arial" w:hAnsi="Arial" w:cs="Arial"/>
              <w:b/>
              <w:sz w:val="32"/>
              <w:szCs w:val="32"/>
            </w:rPr>
            <w:t>A31</w:t>
          </w:r>
        </w:p>
        <w:p w:rsidR="009A1F82" w:rsidRPr="00DF70EE" w:rsidRDefault="00333FA7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Maintain personal health, safety and environmental standards on board a vessel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B27109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097DA2"/>
    <w:multiLevelType w:val="multilevel"/>
    <w:tmpl w:val="BFC45F3C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CED0F51"/>
    <w:multiLevelType w:val="multilevel"/>
    <w:tmpl w:val="922ABDDC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884012"/>
    <w:multiLevelType w:val="multilevel"/>
    <w:tmpl w:val="76923CBA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4"/>
  </w:num>
  <w:num w:numId="5">
    <w:abstractNumId w:val="13"/>
  </w:num>
  <w:num w:numId="6">
    <w:abstractNumId w:val="15"/>
  </w:num>
  <w:num w:numId="7">
    <w:abstractNumId w:val="7"/>
  </w:num>
  <w:num w:numId="8">
    <w:abstractNumId w:val="17"/>
  </w:num>
  <w:num w:numId="9">
    <w:abstractNumId w:val="16"/>
  </w:num>
  <w:num w:numId="10">
    <w:abstractNumId w:val="14"/>
  </w:num>
  <w:num w:numId="11">
    <w:abstractNumId w:val="12"/>
  </w:num>
  <w:num w:numId="12">
    <w:abstractNumId w:val="9"/>
  </w:num>
  <w:num w:numId="13">
    <w:abstractNumId w:val="6"/>
  </w:num>
  <w:num w:numId="14">
    <w:abstractNumId w:val="11"/>
  </w:num>
  <w:num w:numId="15">
    <w:abstractNumId w:val="0"/>
  </w:num>
  <w:num w:numId="16">
    <w:abstractNumId w:val="3"/>
  </w:num>
  <w:num w:numId="17">
    <w:abstractNumId w:val="2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21C4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38DB"/>
    <w:rsid w:val="000E0A1D"/>
    <w:rsid w:val="000E15AB"/>
    <w:rsid w:val="000E1A7E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4548"/>
    <w:rsid w:val="001C52C2"/>
    <w:rsid w:val="001D17C9"/>
    <w:rsid w:val="001D5001"/>
    <w:rsid w:val="001E0471"/>
    <w:rsid w:val="001E137E"/>
    <w:rsid w:val="001E350B"/>
    <w:rsid w:val="001E75AC"/>
    <w:rsid w:val="001F55F5"/>
    <w:rsid w:val="001F6B01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32016"/>
    <w:rsid w:val="0024080B"/>
    <w:rsid w:val="002427F4"/>
    <w:rsid w:val="0025664D"/>
    <w:rsid w:val="0025743A"/>
    <w:rsid w:val="00262F5D"/>
    <w:rsid w:val="00270B1B"/>
    <w:rsid w:val="00273311"/>
    <w:rsid w:val="002774F2"/>
    <w:rsid w:val="002A4C5F"/>
    <w:rsid w:val="002A694A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33FA7"/>
    <w:rsid w:val="00345B06"/>
    <w:rsid w:val="003521D1"/>
    <w:rsid w:val="0036118B"/>
    <w:rsid w:val="003722CD"/>
    <w:rsid w:val="00377DED"/>
    <w:rsid w:val="00380447"/>
    <w:rsid w:val="00387C8A"/>
    <w:rsid w:val="00394B2B"/>
    <w:rsid w:val="003B7932"/>
    <w:rsid w:val="003C4768"/>
    <w:rsid w:val="003C6D88"/>
    <w:rsid w:val="003D22F2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49EC"/>
    <w:rsid w:val="00447016"/>
    <w:rsid w:val="00451C9A"/>
    <w:rsid w:val="00451CC3"/>
    <w:rsid w:val="004569AC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50084C"/>
    <w:rsid w:val="005027E6"/>
    <w:rsid w:val="00515426"/>
    <w:rsid w:val="00521BFC"/>
    <w:rsid w:val="00527213"/>
    <w:rsid w:val="0052780A"/>
    <w:rsid w:val="00540315"/>
    <w:rsid w:val="00540609"/>
    <w:rsid w:val="00545BAC"/>
    <w:rsid w:val="00550971"/>
    <w:rsid w:val="00556342"/>
    <w:rsid w:val="00563BF7"/>
    <w:rsid w:val="00573928"/>
    <w:rsid w:val="005833E2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7493"/>
    <w:rsid w:val="006505B2"/>
    <w:rsid w:val="0066162E"/>
    <w:rsid w:val="00663856"/>
    <w:rsid w:val="006714C6"/>
    <w:rsid w:val="00672706"/>
    <w:rsid w:val="00672A79"/>
    <w:rsid w:val="00673383"/>
    <w:rsid w:val="00683429"/>
    <w:rsid w:val="00685DDB"/>
    <w:rsid w:val="00687545"/>
    <w:rsid w:val="00690067"/>
    <w:rsid w:val="00692389"/>
    <w:rsid w:val="00692FE1"/>
    <w:rsid w:val="00693C26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42745"/>
    <w:rsid w:val="00743072"/>
    <w:rsid w:val="00753242"/>
    <w:rsid w:val="007613C5"/>
    <w:rsid w:val="00762896"/>
    <w:rsid w:val="00762E29"/>
    <w:rsid w:val="00780EAB"/>
    <w:rsid w:val="00785D30"/>
    <w:rsid w:val="00791C53"/>
    <w:rsid w:val="007A13ED"/>
    <w:rsid w:val="007B0672"/>
    <w:rsid w:val="007C232F"/>
    <w:rsid w:val="007C7DC5"/>
    <w:rsid w:val="007D3CB0"/>
    <w:rsid w:val="007D52B7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2BCA"/>
    <w:rsid w:val="008B3E91"/>
    <w:rsid w:val="008B472C"/>
    <w:rsid w:val="008C0064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D56BF"/>
    <w:rsid w:val="009E4E46"/>
    <w:rsid w:val="009E742F"/>
    <w:rsid w:val="009F1381"/>
    <w:rsid w:val="009F5881"/>
    <w:rsid w:val="009F7CB5"/>
    <w:rsid w:val="00A10E28"/>
    <w:rsid w:val="00A125F1"/>
    <w:rsid w:val="00A13C08"/>
    <w:rsid w:val="00A560A0"/>
    <w:rsid w:val="00A664B3"/>
    <w:rsid w:val="00A73B2E"/>
    <w:rsid w:val="00A910A6"/>
    <w:rsid w:val="00A92AB5"/>
    <w:rsid w:val="00A9731F"/>
    <w:rsid w:val="00AA411C"/>
    <w:rsid w:val="00AB493E"/>
    <w:rsid w:val="00AB7B1B"/>
    <w:rsid w:val="00AC5EE5"/>
    <w:rsid w:val="00AE57EF"/>
    <w:rsid w:val="00B15A0B"/>
    <w:rsid w:val="00B165CE"/>
    <w:rsid w:val="00B27109"/>
    <w:rsid w:val="00B4020E"/>
    <w:rsid w:val="00B51DAF"/>
    <w:rsid w:val="00B522C4"/>
    <w:rsid w:val="00B5446B"/>
    <w:rsid w:val="00B652FB"/>
    <w:rsid w:val="00B73F65"/>
    <w:rsid w:val="00B82F94"/>
    <w:rsid w:val="00B9514C"/>
    <w:rsid w:val="00BA174C"/>
    <w:rsid w:val="00BA2445"/>
    <w:rsid w:val="00BC5E81"/>
    <w:rsid w:val="00BD3F1B"/>
    <w:rsid w:val="00BE436E"/>
    <w:rsid w:val="00BF663F"/>
    <w:rsid w:val="00C077DD"/>
    <w:rsid w:val="00C12BFA"/>
    <w:rsid w:val="00C13B26"/>
    <w:rsid w:val="00C161C8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8464D"/>
    <w:rsid w:val="00C9080A"/>
    <w:rsid w:val="00C92654"/>
    <w:rsid w:val="00C94311"/>
    <w:rsid w:val="00CA0B7E"/>
    <w:rsid w:val="00CA0BEC"/>
    <w:rsid w:val="00CA3700"/>
    <w:rsid w:val="00CC2785"/>
    <w:rsid w:val="00CC7452"/>
    <w:rsid w:val="00D03896"/>
    <w:rsid w:val="00D13FFB"/>
    <w:rsid w:val="00D15081"/>
    <w:rsid w:val="00D27CC8"/>
    <w:rsid w:val="00D33BD9"/>
    <w:rsid w:val="00D50956"/>
    <w:rsid w:val="00D646F9"/>
    <w:rsid w:val="00D762B7"/>
    <w:rsid w:val="00D808EB"/>
    <w:rsid w:val="00D9240E"/>
    <w:rsid w:val="00D945AE"/>
    <w:rsid w:val="00DA0020"/>
    <w:rsid w:val="00DB1A9E"/>
    <w:rsid w:val="00DB2AA3"/>
    <w:rsid w:val="00DB314A"/>
    <w:rsid w:val="00DC076C"/>
    <w:rsid w:val="00DC2A28"/>
    <w:rsid w:val="00DD4972"/>
    <w:rsid w:val="00DD6775"/>
    <w:rsid w:val="00DD67F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5BC"/>
    <w:rsid w:val="00E27661"/>
    <w:rsid w:val="00E30B15"/>
    <w:rsid w:val="00E3112B"/>
    <w:rsid w:val="00E569AA"/>
    <w:rsid w:val="00E664BC"/>
    <w:rsid w:val="00E66529"/>
    <w:rsid w:val="00E80A62"/>
    <w:rsid w:val="00EB50D3"/>
    <w:rsid w:val="00EC19B3"/>
    <w:rsid w:val="00EC1AA4"/>
    <w:rsid w:val="00EC71A9"/>
    <w:rsid w:val="00ED4338"/>
    <w:rsid w:val="00EE5D4B"/>
    <w:rsid w:val="00F02CCD"/>
    <w:rsid w:val="00F124CE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4C29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6"/>
        <o:r id="V:Rule13" type="connector" idref="#_x0000_s1040"/>
        <o:r id="V:Rule14" type="connector" idref="#_x0000_s1048"/>
        <o:r id="V:Rule15" type="connector" idref="#_x0000_s1039"/>
        <o:r id="V:Rule16" type="connector" idref="#_x0000_s1041"/>
        <o:r id="V:Rule17" type="connector" idref="#_x0000_s1043"/>
        <o:r id="V:Rule18" type="connector" idref="#_x0000_s1047"/>
        <o:r id="V:Rule19" type="connector" idref="#_x0000_s1042"/>
        <o:r id="V:Rule20" type="connector" idref="#_x0000_s1045"/>
        <o:r id="V:Rule21" type="connector" idref="#_x0000_s1044"/>
        <o:r id="V:Rule22" type="connector" idref="#_x0000_s1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4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14048F"/>
    <w:rsid w:val="00282F70"/>
    <w:rsid w:val="002C46EF"/>
    <w:rsid w:val="00401C66"/>
    <w:rsid w:val="00434661"/>
    <w:rsid w:val="00462417"/>
    <w:rsid w:val="0053637E"/>
    <w:rsid w:val="00555ADF"/>
    <w:rsid w:val="00567979"/>
    <w:rsid w:val="00587F01"/>
    <w:rsid w:val="005B7907"/>
    <w:rsid w:val="00691D82"/>
    <w:rsid w:val="006A39AB"/>
    <w:rsid w:val="006D37C5"/>
    <w:rsid w:val="00752FD9"/>
    <w:rsid w:val="007D570B"/>
    <w:rsid w:val="008777D8"/>
    <w:rsid w:val="008960EC"/>
    <w:rsid w:val="008B5E4D"/>
    <w:rsid w:val="008C3FE4"/>
    <w:rsid w:val="009A03DB"/>
    <w:rsid w:val="009D0A55"/>
    <w:rsid w:val="00AB4F0F"/>
    <w:rsid w:val="00AE3328"/>
    <w:rsid w:val="00B13193"/>
    <w:rsid w:val="00B37502"/>
    <w:rsid w:val="00C844BE"/>
    <w:rsid w:val="00CE1085"/>
    <w:rsid w:val="00E62584"/>
    <w:rsid w:val="00EC63D3"/>
    <w:rsid w:val="00F036A0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1750C-D80E-403A-8AD9-3FB413179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3CF78D-D9F4-4347-93E9-E4CCFD0C5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7</cp:revision>
  <dcterms:created xsi:type="dcterms:W3CDTF">2011-12-14T14:57:00Z</dcterms:created>
  <dcterms:modified xsi:type="dcterms:W3CDTF">2012-02-23T13:29:00Z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